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right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…………………………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right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pieczątka podmiotu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right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center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454" w:after="227" w:line="360" w:lineRule="auto"/>
        <w:ind w:right="-431"/>
        <w:jc w:val="center"/>
        <w:rPr>
          <w:rFonts w:ascii="Calibri" w:hAnsi="Calibri" w:cs="Times New Roman"/>
          <w:b/>
          <w:bCs/>
          <w:sz w:val="26"/>
          <w:u w:val="single"/>
        </w:rPr>
      </w:pPr>
      <w:r w:rsidRPr="00D639F5">
        <w:rPr>
          <w:rFonts w:ascii="Calibri" w:hAnsi="Calibri" w:cs="Times New Roman"/>
          <w:b/>
          <w:bCs/>
          <w:sz w:val="26"/>
          <w:u w:val="single"/>
        </w:rPr>
        <w:t>Procedura zastosowania środków ochrony indywidualnej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Podstawa prawna: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ustawa z dnia 5 grudnia 2008 r. o zapobieganiu oraz zwalczaniu zakażeń i chorób zakaźnych u ludzi (tekst jedn.: Dz. U. z 2016 r. poz. 1866 z późn. zm.);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rozporządzenie Ministra Zdrowia z dnia 6 czerwca 2013 r. w sprawie bezpieczeństwa i higieny pracy przy wykonywaniu prac związanych z narażeniem na zranienie ostrymi narzędziami używanymi przy udzielaniu świadczeń zdrowotnych (Dz. U. poz. 696);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ustawa z dnia 26 czerwca 1974 r. – Kodeks pracy (tekst jedn.: Dz. U. z 2016 r. poz. 1666 z późn. zm.).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Data sporządzenia: …………………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Sporządził: …………………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Zatwierdził: …………………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Data zatwierdzenia: ……………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sz w:val="22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Definicje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b/>
          <w:bCs/>
          <w:sz w:val="20"/>
          <w:szCs w:val="20"/>
        </w:rPr>
        <w:t xml:space="preserve">Środki ochrony indywidualnej </w:t>
      </w:r>
      <w:r w:rsidRPr="00D639F5">
        <w:rPr>
          <w:rFonts w:ascii="Calibri" w:hAnsi="Calibri" w:cs="Times New Roman"/>
          <w:sz w:val="20"/>
          <w:szCs w:val="20"/>
        </w:rPr>
        <w:t>– wyposażenie przeznaczone do noszenia lub trzymania lub urządzenie w celu ochrony przed zagrożeniem, które mogą mieć wpływ na zdrowie pracownika lub bezpieczeństwo pracy.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b/>
          <w:bCs/>
          <w:sz w:val="20"/>
          <w:szCs w:val="20"/>
        </w:rPr>
        <w:t>Jednostka, pracodawca</w:t>
      </w:r>
      <w:r w:rsidRPr="00D639F5">
        <w:rPr>
          <w:rFonts w:ascii="Calibri" w:hAnsi="Calibri" w:cs="Times New Roman"/>
          <w:sz w:val="20"/>
          <w:szCs w:val="20"/>
        </w:rPr>
        <w:t xml:space="preserve"> – podmiot udzielający świadczeń medycznych.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sz w:val="22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OSTRZEŻENIA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Przed wyborem konkretnego środka ochrony indywidualnej zawsze sprawdź jego stan techniczny, jego datę ważności oraz upewnij się, że nie jest uszkodzony!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 xml:space="preserve">Środki ochrony indywidualnej stosowane w jednostce to: szczepienia, wentylacja. maski jednorazowe. przyłbice, rękawiczki jednorazowe, fartuchy ochronne. ............................................................. . 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center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center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center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1. Szczepienia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Zarówno pracownik, jak i pracodawca są odpowiedzialni za podjęcie skutecznych działań w celu zapobiegania zakażeniom podczas wykonywania obowiązków w jednostce oraz za ochronę pacjentów, którzy mogą ulec zakażeniu, któremu można zapobiec poprzez szczepienia.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Pracodawca kontroluje wykonanie zalecanych szczepień, przede wszystkim biorąc pod uwagę indywidualną odporność każdego pracownika.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a. Szczepienia rutynowo zalecane personelowi jednostki ze względu na duże ryzyko zakażenia w miejscu pracy i/lub poważnych następstw choroby z uwzględnieniem ryzyka dla pacjentów, gdy zarażą się od pracowników – szczepienia: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przeciwko grypie sezonowej,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odrze,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śwince,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różyczce,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ospie wietrznej,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krztuścowi,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</w: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WZW typu B.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b. Szczepienia zalecane personelowi jednostki w szczególnych okolicznościach: ……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c. Szczepienia zlecone przez lekarza sprawującego opiekę zdrowotną nad jednostką.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d. Każdy pracownik udzielający świadczeń medycznych powinien posiadać aktualne szczepienie przeciw WZW typu B.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e. Personel nieuodporniony, który ma lub może mieć kontakt z krwią lub innymi potencjalnie zakaźnymi płynami ustrojowymi, winien otrzymać kompletne podstawowe szczepienia przeciw WZW typu B – wszystkie 3 dawki.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sz w:val="22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2. Ochrona układu oddechowego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a. W celu ochrony układu oddechowego w jednostce stosowany jest sprawnie działający system wentylacji.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b. Pracodawca zapewnia dla ochrony układu oddechowego personelowi jednorazowe maski ochronne.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c. Pracownik ma obowiązek, zawsze gdy bierze udział w udzielaniu świadczeń medycznych, mieć prawidłowo założoną i zabezpieczoną maskę ochronną zabezpieczającą usta i nos.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d. Maska po użyciu nie może być użyta ponownie.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e. W sytuacji gdy maska została poplamiona krwią lub innymi płynami biologicznymi, winna zostać wyrzucona do pojemnika z odpadami medycznymi.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sz w:val="22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3. Ochrona twarzy i oczu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a. Pracodawca w celu ochrony twarzy i oczu pracownika przed krwią lub innymi płynami fizjologicznymi zapewnia: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okulary ochronne,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przyłbice.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b. Do ochrony twarzy i oczu personel stosuje przyłbice, które zapewniają bezpieczeństwo przed kontaktem twarzy i oczu pracownika z krwią lub płynami fizjologicznymi.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c. Personel może stosować okulary ochronne w sytuacji, gdy istnieje niewielkie ryzyko kontaktu z twarzą krwi lub płynów fizjologicznych.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d. Sprzęt do ochrony oczu i twarzy stosuje się w przypadku narażenia na 1, 2 lub 3 grupę czynników biologicznych.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e. Należy pamiętać, by nie pracować w torze oddechowym pacjenta.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sz w:val="22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4. Rękawice chroniące przed czynnikami biologicznymi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a. W celu ochrony pracownika przed krwią lub innymi płynami fizjologicznymi pracodawca zapewnia jednorazowe rękawice.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b. Z uwagi na indywidualne właściwości pracownika pracodawca zapewnia rękawice: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we właściwym rozmiarze, czyli takie, które będą dopasowane do ręki pracownika,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lateksowe bezpudrowe/pudrowe,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nitrylowe bezpudrowe/pudrowe – uwzględniające uczulenia na lateks.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c. Rękawiczki przeznaczone do pracy przy udzielaniu świadczeń medycznych winny mieć właściwości, które zapewniają ochronę przed krwią lub innymi płynami fizjologicznymi.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d. Rękawiczki stosuje się zawsze podczas wykonywania czynności związanych z udzielaniem świadczeń medycznych i podczas dezynfekcji i sterylizacji.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e. Rękawiczki są sprzętem jednorazowego użytku i nie mogą być ponownie wykorzystane.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f. Rękawiczki z krwią lub innymi płynami fizjologicznymi winny zostać wyrzucone do odpadów medycznych.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g. Po zdjęciu rękawiczek należy wykonać higieniczne mycie rąk zgodnie z obowiązującą procedurą.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sz w:val="22"/>
          <w:szCs w:val="20"/>
        </w:rPr>
      </w:pPr>
      <w:r w:rsidRPr="00D639F5">
        <w:rPr>
          <w:rFonts w:ascii="Calibri" w:hAnsi="Calibri" w:cs="Times New Roman"/>
          <w:b/>
          <w:bCs/>
          <w:sz w:val="22"/>
          <w:szCs w:val="20"/>
        </w:rPr>
        <w:t>5. Odzież ochronna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a. W sytuacji gdy ciało pracownika jest narażone na działanie czynników biologicznych, winna być stosowana jednorazowa odzież ochronna.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>b. Jednorazowa odzież ochronna pełni następujące funkcje: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zapobiega przedostawaniu się czynników infekcyjnych do skóry, która może być uszkodzona,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zapobiega przenoszeniu czynników infekcyjnych na pacjenta,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sz w:val="20"/>
          <w:szCs w:val="20"/>
        </w:rPr>
      </w:pPr>
      <w:r w:rsidRPr="00D639F5">
        <w:rPr>
          <w:rFonts w:ascii="Calibri" w:hAnsi="Calibri" w:cs="Times New Roman"/>
          <w:sz w:val="20"/>
          <w:szCs w:val="20"/>
        </w:rPr>
        <w:tab/>
        <w:t>–</w:t>
      </w:r>
      <w:r w:rsidRPr="00D639F5">
        <w:rPr>
          <w:rFonts w:ascii="Calibri" w:hAnsi="Calibri" w:cs="Times New Roman"/>
          <w:sz w:val="20"/>
          <w:szCs w:val="20"/>
        </w:rPr>
        <w:tab/>
        <w:t>zapobiega kontaktowi z krwią lub innymi płynami fizjologicznymi.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pacing w:val="-2"/>
          <w:kern w:val="1"/>
          <w:sz w:val="20"/>
          <w:szCs w:val="20"/>
        </w:rPr>
      </w:pPr>
      <w:r w:rsidRPr="00D639F5">
        <w:rPr>
          <w:rFonts w:ascii="Calibri" w:hAnsi="Calibri" w:cs="Times New Roman"/>
          <w:spacing w:val="-2"/>
          <w:kern w:val="1"/>
          <w:sz w:val="20"/>
          <w:szCs w:val="20"/>
        </w:rPr>
        <w:t>c. Pracownik w celu wykonywania swoich obowiązków przy udzielaniu świadczeń medycznych zawsze korzysta z fartuchów ochronnych z wyłączeniem sytuacji opisanej w pkt 5a.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>d. Fartuchy ochronne są prane zgodnie z obowiązującą procedurą postępowania z brudną bielizną.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>e. Pracodawca zapewnia pracownikom odzież – fartuchy ochronne, które przysługują w następującej ilości: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ab/>
        <w:t>–</w:t>
      </w:r>
      <w:r w:rsidRPr="00D639F5">
        <w:rPr>
          <w:rFonts w:ascii="Calibri" w:hAnsi="Calibri" w:cs="Times New Roman"/>
          <w:kern w:val="1"/>
          <w:sz w:val="20"/>
          <w:szCs w:val="20"/>
        </w:rPr>
        <w:tab/>
        <w:t>lekarze – 2 komplety na 1 rok,</w:t>
      </w:r>
    </w:p>
    <w:p w:rsidR="00D639F5" w:rsidRPr="00D639F5" w:rsidRDefault="00D639F5" w:rsidP="00D639F5">
      <w:pPr>
        <w:widowControl w:val="0"/>
        <w:tabs>
          <w:tab w:val="right" w:pos="227"/>
          <w:tab w:val="left" w:pos="340"/>
        </w:tabs>
        <w:autoSpaceDE w:val="0"/>
        <w:autoSpaceDN w:val="0"/>
        <w:adjustRightInd w:val="0"/>
        <w:spacing w:line="360" w:lineRule="auto"/>
        <w:ind w:left="340" w:right="-431" w:hanging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ab/>
        <w:t>–</w:t>
      </w:r>
      <w:r w:rsidRPr="00D639F5">
        <w:rPr>
          <w:rFonts w:ascii="Calibri" w:hAnsi="Calibri" w:cs="Times New Roman"/>
          <w:kern w:val="1"/>
          <w:sz w:val="20"/>
          <w:szCs w:val="20"/>
        </w:rPr>
        <w:tab/>
        <w:t>asystentki/higienistki – 1 komplet na 1 rok.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>f. Pracodawca zapewnia pracownikom fartuchy ochronne foliowe jednorazowe w celu ochrony pracownika przed zachlapaniem, poplamieniem ubrań roboczych w czasie używania materiałów i płynów chemicznych zgodnie z wykazem materiałów, które mogą być uznane za niebezpieczne.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83" w:after="113" w:line="360" w:lineRule="auto"/>
        <w:ind w:right="-431"/>
        <w:jc w:val="center"/>
        <w:rPr>
          <w:rFonts w:ascii="Calibri" w:hAnsi="Calibri" w:cs="Times New Roman"/>
          <w:b/>
          <w:bCs/>
          <w:kern w:val="1"/>
          <w:sz w:val="22"/>
          <w:szCs w:val="20"/>
        </w:rPr>
      </w:pPr>
      <w:r w:rsidRPr="00D639F5">
        <w:rPr>
          <w:rFonts w:ascii="Calibri" w:hAnsi="Calibri" w:cs="Times New Roman"/>
          <w:b/>
          <w:bCs/>
          <w:kern w:val="1"/>
          <w:sz w:val="22"/>
          <w:szCs w:val="20"/>
        </w:rPr>
        <w:t>6. Ochrona w trakcie dezynfekcji i sterylizacji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>a. Powierzchnie zanieczyszczone krwią, ropą, moczem, śliną, innymi wydzielinami i wydalinami powinny być natychmiast dezynfekowane z zastosowaniem preparatów o szerokim zakresie działania odpowiednim do zagrożenia. Ze względu na czynnik ryzyka, podobnie jak w przypadkach innych chorób zakaźnych, dezynfekcję miejscową wykonuje się przed czyszczeniem powierzchni przedmiotów.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spacing w:val="-2"/>
          <w:kern w:val="1"/>
          <w:sz w:val="20"/>
          <w:szCs w:val="20"/>
        </w:rPr>
      </w:pPr>
      <w:r w:rsidRPr="00D639F5">
        <w:rPr>
          <w:rFonts w:ascii="Calibri" w:hAnsi="Calibri" w:cs="Times New Roman"/>
          <w:spacing w:val="-2"/>
          <w:kern w:val="1"/>
          <w:sz w:val="20"/>
          <w:szCs w:val="20"/>
        </w:rPr>
        <w:t>b. Personel wykonujący sterylizacje, dezynfekcję i czyszczenie powierzchni zanieczyszczonych krwią lub innymi płynami ustrojowymi musi stosować środki ochrony osobistej!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>c. Przed każdą dezynfekcją czy sterylizacją należy założyć rękawiczki ochronne, okulary ochronne oraz fartuch ochronny. Użyte w tym celu materiały umieszczamy w pojemniku na odpady medyczne.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  <w:r w:rsidRPr="00D639F5">
        <w:rPr>
          <w:rFonts w:ascii="Calibri" w:hAnsi="Calibri" w:cs="Times New Roman"/>
          <w:kern w:val="1"/>
          <w:sz w:val="20"/>
          <w:szCs w:val="20"/>
        </w:rPr>
        <w:t>d. Po zdjęciu rękawiczek należy wykonać higieniczne mycie rąk zgodnie z obowiązującą procedurą.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line="360" w:lineRule="auto"/>
        <w:ind w:right="-431" w:firstLine="340"/>
        <w:jc w:val="both"/>
        <w:rPr>
          <w:rFonts w:ascii="Calibri" w:hAnsi="Calibri" w:cs="Times New Roman"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27" w:line="360" w:lineRule="auto"/>
        <w:ind w:right="-431"/>
        <w:rPr>
          <w:rFonts w:ascii="Calibri" w:hAnsi="Calibri" w:cs="Times New Roman"/>
          <w:b/>
          <w:iCs/>
          <w:kern w:val="1"/>
          <w:sz w:val="20"/>
          <w:szCs w:val="20"/>
        </w:rPr>
      </w:pPr>
      <w:r w:rsidRPr="00D639F5">
        <w:rPr>
          <w:rFonts w:ascii="Calibri" w:hAnsi="Calibri" w:cs="Times New Roman"/>
          <w:b/>
          <w:iCs/>
          <w:kern w:val="1"/>
          <w:sz w:val="20"/>
          <w:szCs w:val="20"/>
        </w:rPr>
        <w:t>Powyższa procedura obowiązuje od dnia …………………………………………………… 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27" w:line="360" w:lineRule="auto"/>
        <w:ind w:right="-431"/>
        <w:rPr>
          <w:rFonts w:ascii="Calibri" w:hAnsi="Calibri" w:cs="Times New Roman"/>
          <w:b/>
          <w:iCs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27" w:line="360" w:lineRule="auto"/>
        <w:ind w:right="-431"/>
        <w:jc w:val="right"/>
        <w:rPr>
          <w:rFonts w:ascii="Calibri" w:hAnsi="Calibri" w:cs="Times New Roman"/>
          <w:b/>
          <w:iCs/>
          <w:kern w:val="1"/>
          <w:sz w:val="20"/>
          <w:szCs w:val="20"/>
        </w:rPr>
      </w:pP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27" w:line="360" w:lineRule="auto"/>
        <w:ind w:right="-431"/>
        <w:jc w:val="right"/>
        <w:rPr>
          <w:rFonts w:ascii="Calibri" w:hAnsi="Calibri" w:cs="Times New Roman"/>
          <w:b/>
          <w:iCs/>
          <w:kern w:val="1"/>
          <w:sz w:val="20"/>
          <w:szCs w:val="20"/>
        </w:rPr>
      </w:pPr>
      <w:r w:rsidRPr="00D639F5">
        <w:rPr>
          <w:rFonts w:ascii="Calibri" w:hAnsi="Calibri" w:cs="Times New Roman"/>
          <w:b/>
          <w:iCs/>
          <w:kern w:val="1"/>
          <w:sz w:val="20"/>
          <w:szCs w:val="20"/>
        </w:rPr>
        <w:t>…………………………………………………… </w:t>
      </w:r>
    </w:p>
    <w:p w:rsidR="00D639F5" w:rsidRPr="00D639F5" w:rsidRDefault="00D639F5" w:rsidP="00D639F5">
      <w:pPr>
        <w:widowControl w:val="0"/>
        <w:autoSpaceDE w:val="0"/>
        <w:autoSpaceDN w:val="0"/>
        <w:adjustRightInd w:val="0"/>
        <w:spacing w:before="227" w:line="360" w:lineRule="auto"/>
        <w:ind w:right="-431"/>
        <w:jc w:val="right"/>
        <w:rPr>
          <w:rFonts w:ascii="Calibri" w:hAnsi="Calibri" w:cs="Times New Roman"/>
          <w:b/>
          <w:iCs/>
          <w:kern w:val="1"/>
          <w:sz w:val="20"/>
          <w:szCs w:val="20"/>
        </w:rPr>
      </w:pPr>
      <w:r w:rsidRPr="00D639F5">
        <w:rPr>
          <w:rFonts w:ascii="Calibri" w:hAnsi="Calibri" w:cs="Times New Roman"/>
          <w:b/>
          <w:iCs/>
          <w:kern w:val="1"/>
          <w:sz w:val="20"/>
          <w:szCs w:val="20"/>
        </w:rPr>
        <w:t>podpis kierownika podmiotu</w:t>
      </w:r>
    </w:p>
    <w:p w:rsidR="00FF5992" w:rsidRPr="00D639F5" w:rsidRDefault="00D639F5" w:rsidP="00D639F5">
      <w:pPr>
        <w:jc w:val="right"/>
        <w:rPr>
          <w:rFonts w:ascii="Times New Roman" w:hAnsi="Times New Roman"/>
        </w:rPr>
      </w:pPr>
    </w:p>
    <w:sectPr w:rsidR="00FF5992" w:rsidRPr="00D639F5" w:rsidSect="00123AAA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9F5"/>
    <w:rsid w:val="00D639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5F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Macintosh Word</Application>
  <DocSecurity>0</DocSecurity>
  <Lines>48</Lines>
  <Paragraphs>11</Paragraphs>
  <ScaleCrop>false</ScaleCrop>
  <Company>PLAN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Delijewska</dc:creator>
  <cp:keywords/>
  <cp:lastModifiedBy>Milena Delijewska</cp:lastModifiedBy>
  <cp:revision>1</cp:revision>
  <dcterms:created xsi:type="dcterms:W3CDTF">2018-01-07T10:23:00Z</dcterms:created>
  <dcterms:modified xsi:type="dcterms:W3CDTF">2018-01-07T10:33:00Z</dcterms:modified>
</cp:coreProperties>
</file>